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3DF05" w14:textId="77777777" w:rsidR="001A275E" w:rsidRDefault="001A275E" w:rsidP="001A275E">
      <w:pPr>
        <w:spacing w:before="100" w:beforeAutospacing="1" w:after="100" w:afterAutospacing="1"/>
      </w:pPr>
      <w:r>
        <w:rPr>
          <w:b/>
          <w:bCs/>
        </w:rPr>
        <w:t>Warriner School Sets National Example in Inclusive Education and Innovation</w:t>
      </w:r>
    </w:p>
    <w:p w14:paraId="2D7FA62C" w14:textId="77777777" w:rsidR="001A275E" w:rsidRDefault="001A275E" w:rsidP="001A275E">
      <w:pPr>
        <w:spacing w:before="100" w:beforeAutospacing="1" w:after="100" w:afterAutospacing="1"/>
      </w:pPr>
      <w:r>
        <w:rPr>
          <w:i/>
          <w:iCs/>
        </w:rPr>
        <w:t>Bloxham, Oxfordshire – June 2025</w:t>
      </w:r>
      <w:r>
        <w:br/>
        <w:t>Warriner School has once again demonstrated its position as a national leader in inclusive education and student wellbeing, following a glowing evaluation from the Inclusion Quality Mark (IQM) which has confirmed the school’s continued Flagship Status.</w:t>
      </w:r>
    </w:p>
    <w:p w14:paraId="1516BA48" w14:textId="77777777" w:rsidR="001A275E" w:rsidRDefault="001A275E" w:rsidP="001A275E">
      <w:pPr>
        <w:spacing w:before="100" w:beforeAutospacing="1" w:after="100" w:afterAutospacing="1"/>
      </w:pPr>
      <w:r>
        <w:t>The school’s Enhanced Pathway provision, now in its second year, has proven transformative. Year 8 students have successfully integrated into mainstream education thanks to strong SEND support and a thoughtfully staged transition process. Year 7 students are also benefitting from specialist teaching and a ‘soft landing’ into secondary school life—an approach that has driven a significant increase in students with Education, Health and Care Plans (EHCPs) naming Warriner as their school of choice.</w:t>
      </w:r>
    </w:p>
    <w:p w14:paraId="23F51CE5" w14:textId="77777777" w:rsidR="001A275E" w:rsidRDefault="001A275E" w:rsidP="001A275E">
      <w:pPr>
        <w:spacing w:before="100" w:beforeAutospacing="1" w:after="100" w:afterAutospacing="1"/>
      </w:pPr>
      <w:r>
        <w:t xml:space="preserve">In line with its commitment to adaptive learning, the school has transitioned to a digital pupil passport system via </w:t>
      </w:r>
      <w:proofErr w:type="spellStart"/>
      <w:r>
        <w:t>Edukey</w:t>
      </w:r>
      <w:proofErr w:type="spellEnd"/>
      <w:r>
        <w:t>, allowing staff to track strategy effectiveness and respond with targeted interventions. Feedback loops using round robins have enhanced teacher insight, supporting a highly personalised approach to education.</w:t>
      </w:r>
    </w:p>
    <w:p w14:paraId="0D6254A3" w14:textId="77777777" w:rsidR="001A275E" w:rsidRDefault="001A275E" w:rsidP="001A275E">
      <w:pPr>
        <w:spacing w:before="100" w:beforeAutospacing="1" w:after="100" w:afterAutospacing="1"/>
      </w:pPr>
      <w:r>
        <w:t>The school has invested heavily in its support network, with Higher Level Teaching Assistants (HLTAs) now trained in key areas such as SEMH, literacy, and communication. These specialists collaborate in focused working groups, alongside curriculum leads, to deliver interventions that are both precise and impactful. Assistant Headteacher for Teaching and Learning described classroom teachers as “the cornerstone” of this success.</w:t>
      </w:r>
    </w:p>
    <w:p w14:paraId="1055A3B8" w14:textId="77777777" w:rsidR="001A275E" w:rsidRDefault="001A275E" w:rsidP="001A275E">
      <w:pPr>
        <w:spacing w:before="100" w:beforeAutospacing="1" w:after="100" w:afterAutospacing="1"/>
      </w:pPr>
      <w:r>
        <w:t>One standout initiative is the ‘High-Five’ reading strategy, which has reengaged struggling readers in Key Stage 3 and bolstered vocabulary acquisition through gamified competition—particularly effective in improving boys' attitudes toward reading.</w:t>
      </w:r>
    </w:p>
    <w:p w14:paraId="40768DA7" w14:textId="77777777" w:rsidR="001A275E" w:rsidRDefault="001A275E" w:rsidP="001A275E">
      <w:pPr>
        <w:spacing w:before="100" w:beforeAutospacing="1" w:after="100" w:afterAutospacing="1"/>
      </w:pPr>
      <w:r>
        <w:t>Looking ahead, Warriner is set to launch its ‘Warriner 16 by 16’ programme in September 2025. The initiative promises every student 16 valuable life experiences by the time they turn 16, ranging from attending a live sporting event to participating in cultural and academic enrichment. Pupil premium students will receive targeted support to ensure equal access.</w:t>
      </w:r>
    </w:p>
    <w:p w14:paraId="1F252845" w14:textId="77777777" w:rsidR="001A275E" w:rsidRDefault="001A275E" w:rsidP="001A275E">
      <w:pPr>
        <w:spacing w:before="100" w:beforeAutospacing="1" w:after="100" w:afterAutospacing="1"/>
      </w:pPr>
      <w:r>
        <w:t>The school also remains at the forefront of restorative and relational practice. Staff training and mentoring reforms—now replacing traditional tutor groups—underscore its belief in student voice and emotional wellbeing. Weekly ‘circles’ sessions are fast becoming a pillar of the school’s pastoral framework.</w:t>
      </w:r>
    </w:p>
    <w:p w14:paraId="6F86A86B" w14:textId="77777777" w:rsidR="001A275E" w:rsidRDefault="001A275E" w:rsidP="001A275E">
      <w:pPr>
        <w:spacing w:before="100" w:beforeAutospacing="1" w:after="100" w:afterAutospacing="1"/>
      </w:pPr>
      <w:r>
        <w:t>Warriner’s leadership in alternative provision is also gaining national attention. Working in partnership with the Ged Fed initiative, the school has tackled child exploitation with proactive, on-site provision. Following the closure of local alternative options, the school has received £75,000 in County Council funding to establish its own provision—</w:t>
      </w:r>
      <w:r>
        <w:lastRenderedPageBreak/>
        <w:t>complete with a working farm and vocational equipment like motorbikes. Aiming for a 50% intake by launch, this project is poised to fill a critical gap in regional education support.</w:t>
      </w:r>
    </w:p>
    <w:p w14:paraId="1BF80A68" w14:textId="77777777" w:rsidR="001A275E" w:rsidRDefault="001A275E" w:rsidP="001A275E">
      <w:pPr>
        <w:spacing w:before="100" w:beforeAutospacing="1" w:after="100" w:afterAutospacing="1"/>
      </w:pPr>
      <w:r>
        <w:t>Staff wellbeing remains a clear priority, with the Senior Leadership Team planning to introduce a flexible “wellbeing day” for staff next academic year. According to the IQM report, Warriner’s holistic approach—from student mentorship to staff development—is “driven by moral purpose” and firmly rooted in community values.</w:t>
      </w:r>
    </w:p>
    <w:p w14:paraId="15B4033D" w14:textId="77777777" w:rsidR="001A275E" w:rsidRDefault="001A275E" w:rsidP="001A275E">
      <w:pPr>
        <w:spacing w:before="100" w:beforeAutospacing="1" w:after="100" w:afterAutospacing="1"/>
      </w:pPr>
      <w:r>
        <w:t>As the school looks to the future, its unwavering focus on inclusion, innovation, and community cohesion ensures it remains not just a place of learning—but a place of belonging.</w:t>
      </w:r>
    </w:p>
    <w:p w14:paraId="35ECEB44" w14:textId="77777777" w:rsidR="001A275E" w:rsidRDefault="001A275E" w:rsidP="001A275E">
      <w:pPr>
        <w:spacing w:before="100" w:beforeAutospacing="1" w:after="100" w:afterAutospacing="1"/>
      </w:pPr>
      <w:r>
        <w:rPr>
          <w:i/>
          <w:iCs/>
        </w:rPr>
        <w:t>"At Warriner, inclusion isn't just a policy—it's our purpose. Every decision we make is guided by one question: what is the right thing for the child? We're incredibly proud of the progress our students are making, and equally proud of the staff who work tirelessly to make that possible."</w:t>
      </w:r>
      <w:r>
        <w:br/>
        <w:t xml:space="preserve">— </w:t>
      </w:r>
      <w:r>
        <w:rPr>
          <w:b/>
          <w:bCs/>
        </w:rPr>
        <w:t>Alex Greenhalgh, Deputy Head of School, Warriner School</w:t>
      </w:r>
    </w:p>
    <w:p w14:paraId="6B14CA64" w14:textId="77777777" w:rsidR="00390A56" w:rsidRDefault="00390A56"/>
    <w:sectPr w:rsidR="00390A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75E"/>
    <w:rsid w:val="001A275E"/>
    <w:rsid w:val="00390A56"/>
    <w:rsid w:val="00B65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1029C"/>
  <w15:chartTrackingRefBased/>
  <w15:docId w15:val="{C271375E-281F-43DD-A091-BFEB56E9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75E"/>
    <w:rPr>
      <w:rFonts w:ascii="Aptos" w:hAnsi="Aptos" w:cs="Aptos"/>
      <w:lang w:eastAsia="en-GB"/>
    </w:rPr>
  </w:style>
  <w:style w:type="paragraph" w:styleId="Heading1">
    <w:name w:val="heading 1"/>
    <w:basedOn w:val="Normal"/>
    <w:next w:val="Normal"/>
    <w:link w:val="Heading1Char"/>
    <w:uiPriority w:val="9"/>
    <w:qFormat/>
    <w:rsid w:val="001A275E"/>
    <w:pPr>
      <w:keepNext/>
      <w:keepLines/>
      <w:spacing w:before="360" w:after="80"/>
      <w:outlineLvl w:val="0"/>
    </w:pPr>
    <w:rPr>
      <w:rFonts w:asciiTheme="majorHAnsi" w:eastAsiaTheme="majorEastAsia" w:hAnsiTheme="majorHAnsi" w:cstheme="majorBidi"/>
      <w:color w:val="365F91" w:themeColor="accent1" w:themeShade="BF"/>
      <w:sz w:val="40"/>
      <w:szCs w:val="40"/>
      <w:lang w:eastAsia="en-US"/>
    </w:rPr>
  </w:style>
  <w:style w:type="paragraph" w:styleId="Heading2">
    <w:name w:val="heading 2"/>
    <w:basedOn w:val="Normal"/>
    <w:next w:val="Normal"/>
    <w:link w:val="Heading2Char"/>
    <w:uiPriority w:val="9"/>
    <w:semiHidden/>
    <w:unhideWhenUsed/>
    <w:qFormat/>
    <w:rsid w:val="001A275E"/>
    <w:pPr>
      <w:keepNext/>
      <w:keepLines/>
      <w:spacing w:before="160" w:after="80"/>
      <w:outlineLvl w:val="1"/>
    </w:pPr>
    <w:rPr>
      <w:rFonts w:asciiTheme="majorHAnsi" w:eastAsiaTheme="majorEastAsia" w:hAnsiTheme="majorHAnsi" w:cstheme="majorBidi"/>
      <w:color w:val="365F91" w:themeColor="accent1" w:themeShade="BF"/>
      <w:sz w:val="32"/>
      <w:szCs w:val="32"/>
      <w:lang w:eastAsia="en-US"/>
    </w:rPr>
  </w:style>
  <w:style w:type="paragraph" w:styleId="Heading3">
    <w:name w:val="heading 3"/>
    <w:basedOn w:val="Normal"/>
    <w:next w:val="Normal"/>
    <w:link w:val="Heading3Char"/>
    <w:uiPriority w:val="9"/>
    <w:semiHidden/>
    <w:unhideWhenUsed/>
    <w:qFormat/>
    <w:rsid w:val="001A275E"/>
    <w:pPr>
      <w:keepNext/>
      <w:keepLines/>
      <w:spacing w:before="160" w:after="80"/>
      <w:outlineLvl w:val="2"/>
    </w:pPr>
    <w:rPr>
      <w:rFonts w:asciiTheme="minorHAnsi" w:eastAsiaTheme="majorEastAsia" w:hAnsiTheme="minorHAnsi" w:cstheme="majorBidi"/>
      <w:color w:val="365F91" w:themeColor="accent1" w:themeShade="BF"/>
      <w:sz w:val="28"/>
      <w:szCs w:val="28"/>
      <w:lang w:eastAsia="en-US"/>
    </w:rPr>
  </w:style>
  <w:style w:type="paragraph" w:styleId="Heading4">
    <w:name w:val="heading 4"/>
    <w:basedOn w:val="Normal"/>
    <w:next w:val="Normal"/>
    <w:link w:val="Heading4Char"/>
    <w:uiPriority w:val="9"/>
    <w:semiHidden/>
    <w:unhideWhenUsed/>
    <w:qFormat/>
    <w:rsid w:val="001A275E"/>
    <w:pPr>
      <w:keepNext/>
      <w:keepLines/>
      <w:spacing w:before="80" w:after="40"/>
      <w:outlineLvl w:val="3"/>
    </w:pPr>
    <w:rPr>
      <w:rFonts w:asciiTheme="minorHAnsi" w:eastAsiaTheme="majorEastAsia" w:hAnsiTheme="minorHAnsi" w:cstheme="majorBidi"/>
      <w:i/>
      <w:iCs/>
      <w:color w:val="365F91" w:themeColor="accent1" w:themeShade="BF"/>
      <w:lang w:eastAsia="en-US"/>
    </w:rPr>
  </w:style>
  <w:style w:type="paragraph" w:styleId="Heading5">
    <w:name w:val="heading 5"/>
    <w:basedOn w:val="Normal"/>
    <w:next w:val="Normal"/>
    <w:link w:val="Heading5Char"/>
    <w:uiPriority w:val="9"/>
    <w:semiHidden/>
    <w:unhideWhenUsed/>
    <w:qFormat/>
    <w:rsid w:val="001A275E"/>
    <w:pPr>
      <w:keepNext/>
      <w:keepLines/>
      <w:spacing w:before="80" w:after="40"/>
      <w:outlineLvl w:val="4"/>
    </w:pPr>
    <w:rPr>
      <w:rFonts w:asciiTheme="minorHAnsi" w:eastAsiaTheme="majorEastAsia" w:hAnsiTheme="minorHAnsi" w:cstheme="majorBidi"/>
      <w:color w:val="365F91" w:themeColor="accent1" w:themeShade="BF"/>
      <w:lang w:eastAsia="en-US"/>
    </w:rPr>
  </w:style>
  <w:style w:type="paragraph" w:styleId="Heading6">
    <w:name w:val="heading 6"/>
    <w:basedOn w:val="Normal"/>
    <w:next w:val="Normal"/>
    <w:link w:val="Heading6Char"/>
    <w:uiPriority w:val="9"/>
    <w:semiHidden/>
    <w:unhideWhenUsed/>
    <w:qFormat/>
    <w:rsid w:val="001A275E"/>
    <w:pPr>
      <w:keepNext/>
      <w:keepLines/>
      <w:spacing w:before="4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A275E"/>
    <w:pPr>
      <w:keepNext/>
      <w:keepLines/>
      <w:spacing w:before="4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A275E"/>
    <w:pPr>
      <w:keepNext/>
      <w:keepLines/>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A275E"/>
    <w:pPr>
      <w:keepNext/>
      <w:keepLines/>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B65844"/>
    <w:rPr>
      <w:i/>
      <w:iCs/>
    </w:rPr>
  </w:style>
  <w:style w:type="paragraph" w:styleId="ListParagraph">
    <w:name w:val="List Paragraph"/>
    <w:basedOn w:val="Normal"/>
    <w:uiPriority w:val="34"/>
    <w:qFormat/>
    <w:rsid w:val="00B65844"/>
    <w:pPr>
      <w:ind w:left="720"/>
    </w:pPr>
    <w:rPr>
      <w:rFonts w:ascii="Verdana" w:eastAsia="Times New Roman" w:hAnsi="Verdana" w:cs="Arial"/>
      <w:sz w:val="22"/>
      <w:szCs w:val="22"/>
    </w:rPr>
  </w:style>
  <w:style w:type="character" w:customStyle="1" w:styleId="Heading1Char">
    <w:name w:val="Heading 1 Char"/>
    <w:basedOn w:val="DefaultParagraphFont"/>
    <w:link w:val="Heading1"/>
    <w:uiPriority w:val="9"/>
    <w:rsid w:val="001A275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1A275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1A275E"/>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1A275E"/>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1A275E"/>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1A275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A275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A275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A275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A275E"/>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1A27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275E"/>
    <w:pPr>
      <w:numPr>
        <w:ilvl w:val="1"/>
      </w:numPr>
      <w:spacing w:after="16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A275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A275E"/>
    <w:pPr>
      <w:spacing w:before="160" w:after="160"/>
      <w:jc w:val="center"/>
    </w:pPr>
    <w:rPr>
      <w:rFonts w:ascii="Arial" w:hAnsi="Arial" w:cs="Arial"/>
      <w:i/>
      <w:iCs/>
      <w:color w:val="404040" w:themeColor="text1" w:themeTint="BF"/>
      <w:lang w:eastAsia="en-US"/>
    </w:rPr>
  </w:style>
  <w:style w:type="character" w:customStyle="1" w:styleId="QuoteChar">
    <w:name w:val="Quote Char"/>
    <w:basedOn w:val="DefaultParagraphFont"/>
    <w:link w:val="Quote"/>
    <w:uiPriority w:val="29"/>
    <w:rsid w:val="001A275E"/>
    <w:rPr>
      <w:i/>
      <w:iCs/>
      <w:color w:val="404040" w:themeColor="text1" w:themeTint="BF"/>
    </w:rPr>
  </w:style>
  <w:style w:type="character" w:styleId="IntenseEmphasis">
    <w:name w:val="Intense Emphasis"/>
    <w:basedOn w:val="DefaultParagraphFont"/>
    <w:uiPriority w:val="21"/>
    <w:qFormat/>
    <w:rsid w:val="001A275E"/>
    <w:rPr>
      <w:i/>
      <w:iCs/>
      <w:color w:val="365F91" w:themeColor="accent1" w:themeShade="BF"/>
    </w:rPr>
  </w:style>
  <w:style w:type="paragraph" w:styleId="IntenseQuote">
    <w:name w:val="Intense Quote"/>
    <w:basedOn w:val="Normal"/>
    <w:next w:val="Normal"/>
    <w:link w:val="IntenseQuoteChar"/>
    <w:uiPriority w:val="30"/>
    <w:qFormat/>
    <w:rsid w:val="001A275E"/>
    <w:pPr>
      <w:pBdr>
        <w:top w:val="single" w:sz="4" w:space="10" w:color="365F91" w:themeColor="accent1" w:themeShade="BF"/>
        <w:bottom w:val="single" w:sz="4" w:space="10" w:color="365F91" w:themeColor="accent1" w:themeShade="BF"/>
      </w:pBdr>
      <w:spacing w:before="360" w:after="360"/>
      <w:ind w:left="864" w:right="864"/>
      <w:jc w:val="center"/>
    </w:pPr>
    <w:rPr>
      <w:rFonts w:ascii="Arial" w:hAnsi="Arial" w:cs="Arial"/>
      <w:i/>
      <w:iCs/>
      <w:color w:val="365F91" w:themeColor="accent1" w:themeShade="BF"/>
      <w:lang w:eastAsia="en-US"/>
    </w:rPr>
  </w:style>
  <w:style w:type="character" w:customStyle="1" w:styleId="IntenseQuoteChar">
    <w:name w:val="Intense Quote Char"/>
    <w:basedOn w:val="DefaultParagraphFont"/>
    <w:link w:val="IntenseQuote"/>
    <w:uiPriority w:val="30"/>
    <w:rsid w:val="001A275E"/>
    <w:rPr>
      <w:i/>
      <w:iCs/>
      <w:color w:val="365F91" w:themeColor="accent1" w:themeShade="BF"/>
    </w:rPr>
  </w:style>
  <w:style w:type="character" w:styleId="IntenseReference">
    <w:name w:val="Intense Reference"/>
    <w:basedOn w:val="DefaultParagraphFont"/>
    <w:uiPriority w:val="32"/>
    <w:qFormat/>
    <w:rsid w:val="001A275E"/>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642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587</Words>
  <Characters>3352</Characters>
  <Application>Microsoft Office Word</Application>
  <DocSecurity>0</DocSecurity>
  <Lines>27</Lines>
  <Paragraphs>7</Paragraphs>
  <ScaleCrop>false</ScaleCrop>
  <Company>The Warriner School</Company>
  <LinksUpToDate>false</LinksUpToDate>
  <CharactersWithSpaces>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Annabel Kay</dc:creator>
  <cp:keywords/>
  <dc:description/>
  <cp:lastModifiedBy>Dr Annabel Kay</cp:lastModifiedBy>
  <cp:revision>1</cp:revision>
  <dcterms:created xsi:type="dcterms:W3CDTF">2025-06-19T08:33:00Z</dcterms:created>
  <dcterms:modified xsi:type="dcterms:W3CDTF">2025-06-19T08:34:00Z</dcterms:modified>
</cp:coreProperties>
</file>